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103</w:t>
      </w:r>
    </w:p>
    <w:p>
      <w:r>
        <w:t>Bundesgericht (BGE), 1981-05-04, DE</w:t>
      </w:r>
    </w:p>
    <w:p>
      <w:r>
        <w:rPr>
          <w:b/>
        </w:rPr>
        <w:t xml:space="preserve">Quelle: </w:t>
      </w:r>
      <w:r>
        <w:t>https://mcp.opencaselaw.ch/entscheid/bge_107 IV 103</w:t>
      </w:r>
    </w:p>
    <w:p>
      <w:r>
        <w:t>FR: ATF 107 IV 103</w:t>
      </w:r>
    </w:p>
    <w:p>
      <w:r>
        <w:t>IT: DTF 107 IV 103</w:t>
      </w:r>
    </w:p>
    <w:p>
      <w:pPr>
        <w:pStyle w:val="Heading2"/>
      </w:pPr>
      <w:r>
        <w:t>Regeste</w:t>
      </w:r>
    </w:p>
    <w:p>
      <w:r>
        <w:t>Regeste Art. 113 StGB; Totschlag; Entschuldbarkeit der heftigen Gemütsbewegung. Die Frage nach der Entschuldbarkeit der heftigen Gemütsbewegung ist ausschliesslich nach allgemeinen Massstäben menschlichen Verhaltens zu beurteilen, während abnorme Elemente in der Persönlichkeit des Täters bei der Bemessung der konkreten Tatschuld zu berücksichtigen sind.</w:t>
      </w:r>
    </w:p>
    <w:p>
      <w:pPr>
        <w:pStyle w:val="Heading2"/>
      </w:pPr>
      <w:r>
        <w:t>Erwägungen</w:t>
      </w:r>
    </w:p>
    <w:p>
      <w:r>
        <w:rPr>
          <w:b/>
        </w:rPr>
        <w:t>E. 2</w:t>
      </w:r>
    </w:p>
    <w:p>
      <w:r>
        <w:t>b) Die mit der Beschwerde beantragte Privilegierung der Tötung als Totschlag kommt gemäss Art. 113 StGB in Betracht, wenn die Tat in einer nach den Umständen entschuldbaren heftigen Gemütsbewegung begangen worden ist. aa) Das Geschwornengericht hat gestützt auf das psychiatrische Gutachten angenommen, S. habe sich im Verlaufe des Tatabends aus Enttäuschung über das Verhalten von Frau R. in eine derartige Wut hineingesteigert, dass er unter der Wirkung des Alkohols in einer heftigen Gemütsbewegung die Tötung beging. Es ist davon auszugehen, dass der Beschwerdeführer in einem ausserordentlichen Affekt handelte. Die heftige Gemütsbewegung, in BGE 107 IV 103 S. 106 welcher er seine Freundin tötete, wird jedoch von der Vorinstanz nicht als entschuldbar betrachtet. bb) Nach der Rechtsprechung des Bundesgerichts ( BGE 100 IV 151 , BGE 82 IV 88 ), von der abzuweichen kein Anlass besteht, setzt der Begriff der Entschuldbarkeit voraus, dass die heftige Gemütsbewegung nicht nur psychologisch erklärbar, sondern bei objektiver Bewertung nach den sie auslösenden äussern Umständen gerechtfertigt ist; die Tötung muss dadurch bei ethischer Beurteilung in einem wesentlich mildern Licht erscheinen. Krankhafte Veranlagung des Täters vermag die Entschuldbarkeit einer an sich unverständlichen Reaktion nicht zu begründen. Abnorme Elemente in der Persönlichkeit des Täters sind bei der Bemessung der konkreten Tatschuld zu berücksichtigen, nicht bei der Beurteilung der Entschuldbarkeit, die nach allgemein ethischen Gesichtspunkten zu erfolgen hat (vgl. Binder, Der juristische und der psychiatrische Massstab bei der Beurteilung der Tötungsdelikte, ZStrR 67 S. 307 ff.). Eine heftige Gemütsbewegung ist nur dann im Sinne von Art. 113 StGB entschuldbar, wenn sie in Anbetracht der gesamten äussern Umstände menschlich verständlich erscheint, d.h. es muss angenommen werden können, auch ein anderer, an sich anständig Gesinnter wäre in der betreffenden Situation leicht in einen solchen Affekt geraten (Walder, ZStrR 81 S. 37/38). Dabei ist immer zu beachten, dass es bei der Anwendung von Art. 113 StGB nicht um die Entschuldbarkeit der Tat geht, sondern ausschliesslich um die Entschuldbarkeit der heftigen Gemütsbewegung ( BGE 81 IV 155 ). Hat der Täter die Konfliktsituation, welche die Gemütsbewegung auslöste, selber verschuldet oder doch vorwiegend durch eigenes Verhalten schuldhaft herbeigeführt, so ist der Affekt nicht entschuldbar (Walder, a.a.O. S. 38). cc) Das Geschwornengericht hat im angefochtenen Entscheid unter Beachtung dieser Kriterien mit einlässlicher Begründung dargetan, dass der Beschwerdeführer nicht in einem nach der objektiven Sachlage verständlichen Affekt handelte, sondern dass die Tat nur aufgrund der teilweise krankhaften Persönlichkeitsentwicklung des Beschwerdeführers als Reaktion auf eine weitgehend von ihm selbst herbeigeführte Konfliktsituation erklärbar ist. Was in der Nacht vom 29./30. Januar 1979 zwischen S. und Frau R. vor sich ging, lässt sich nicht als eine Art Provokation des Täters durch sein Opfer deuten, welche die heftige Gemütsbewegung nach allgemeinen Massstäben menschlichen Verhaltens als entschuldbar erscheinen liesse, sondern es handelt sich um einen aus Veranlagung BGE 107 IV 103 S. 107 und Lebensgeschichte zu erklärenden, aussergewöhnlichen Affektausbruch des Beschwerdeführers, eines sonst ruhigen, aggressionsgehemmten Mannes. Dieser Würdigung der Tatsachen entspricht die Subsumtion der Tat unter Art. 111 StGB und die Berücksichtigung der aus Persönlichkeit und Lebenslauf sich ergebenden schuldmindernden Gesichtspunkte im Rahmen der Strafzumessung unter Annahme einer starken Herabsetzung der Zurechnungsfähigkeit für das Tötungsdelikt. Die Rüge einer Verletzung des Bundesrechts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